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b w:val="1"/>
          <w:bCs w:val="1"/>
        </w:rPr>
      </w:pPr>
      <w:r w:rsidDel="00000000" w:rsidR="00000000" w:rsidRPr="00000000">
        <w:rPr>
          <w:rtl w:val="0"/>
        </w:rPr>
      </w:r>
    </w:p>
    <w:p w:rsidR="00000000" w:rsidDel="00000000" w:rsidP="00000000" w:rsidRDefault="00000000" w:rsidRPr="00000000" w14:paraId="00000002">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4">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rtl w:val="0"/>
        </w:rPr>
        <w:t xml:space="preserve">______________202_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7">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8">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9">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E">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C">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9">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A">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D">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E">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F">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3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8">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9">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A">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B">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F">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40">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1">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2">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C">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D">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E">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6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2">
      <w:pPr>
        <w:widowControl w:val="0"/>
        <w:numPr>
          <w:ilvl w:val="0"/>
          <w:numId w:val="3"/>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4">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5">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B">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C">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E">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F">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1">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3">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5">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6">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B">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C">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D">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9">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A">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6">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7">
      <w:pPr>
        <w:widowControl w:val="0"/>
        <w:spacing w:after="0" w:before="0" w:line="240" w:lineRule="auto"/>
        <w:ind w:left="-397" w:right="-113" w:firstLine="0"/>
        <w:jc w:val="both"/>
        <w:rPr/>
      </w:pPr>
      <w:sdt>
        <w:sdtPr>
          <w:id w:val="-413553731"/>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629379426"/>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890521837"/>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A">
      <w:pPr>
        <w:widowControl w:val="0"/>
        <w:spacing w:after="0" w:before="0" w:line="240" w:lineRule="auto"/>
        <w:ind w:left="-397" w:right="-113" w:firstLine="0"/>
        <w:jc w:val="both"/>
        <w:rPr/>
      </w:pPr>
      <w:sdt>
        <w:sdtPr>
          <w:id w:val="1194173026"/>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D">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E">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7">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9">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F">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7">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8">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9">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C">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E">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D0">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1">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Сентендре - 3 дня на море в Несебре - Стамбул - София - Белград - Будапешт - Кошице - Люблин - Минск</w:t>
      </w:r>
      <w:r w:rsidDel="00000000" w:rsidR="00000000" w:rsidRPr="00000000">
        <w:rPr>
          <w:rtl w:val="0"/>
        </w:rPr>
      </w:r>
    </w:p>
    <w:p w:rsidR="00000000" w:rsidDel="00000000" w:rsidP="00000000" w:rsidRDefault="00000000" w:rsidRPr="00000000" w14:paraId="000000D2">
      <w:pPr>
        <w:widowControl w:val="0"/>
        <w:spacing w:after="0" w:before="0" w:line="240" w:lineRule="auto"/>
        <w:ind w:right="-134"/>
        <w:jc w:val="both"/>
        <w:rPr>
          <w:rFonts w:ascii="Arial" w:cs="Arial" w:eastAsia="Arial" w:hAnsi="Arial"/>
          <w:b w:val="1"/>
          <w:bCs w:val="1"/>
          <w:sz w:val="20"/>
          <w:szCs w:val="20"/>
          <w:shd w:fill="fce5cd" w:val="clear"/>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shd w:fill="fce5cd" w:val="clear"/>
          <w:rtl w:val="0"/>
        </w:rPr>
        <w:t xml:space="preserve">18.07.2026 - 30.07.2026</w:t>
      </w:r>
      <w:r w:rsidDel="00000000" w:rsidR="00000000" w:rsidRPr="00000000">
        <w:rPr>
          <w:rFonts w:ascii="Arial" w:cs="Arial" w:eastAsia="Arial" w:hAnsi="Arial"/>
          <w:b w:val="1"/>
          <w:bCs w:val="1"/>
          <w:sz w:val="20"/>
          <w:szCs w:val="20"/>
          <w:shd w:fill="fce5cd" w:val="clear"/>
          <w:rtl w:val="0"/>
        </w:rPr>
        <w:t xml:space="preserve"> </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rtl w:val="0"/>
        </w:rPr>
        <w:t xml:space="preserve">Точное время отправки сообщается дополнительно по электронной почте и (или) по телефону. </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6">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7">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8">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10 ночлегов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9">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10 завтраков во всех отелях, 3 обеда и 4 ужина на курорте в Болгарии</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500 (пятьсот) евро.</w:t>
      </w:r>
      <w:r w:rsidDel="00000000" w:rsidR="00000000" w:rsidRPr="00000000">
        <w:rPr>
          <w:rtl w:val="0"/>
        </w:rPr>
        <w:t xml:space="preserve"> </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70 (Семьдесят)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-Автобусный проезд с сопровождением: </w:t>
      </w:r>
      <w:r w:rsidDel="00000000" w:rsidR="00000000" w:rsidRPr="00000000">
        <w:rPr>
          <w:rtl w:val="0"/>
        </w:rPr>
        <w:t xml:space="preserve">230</w:t>
      </w:r>
      <w:r w:rsidDel="00000000" w:rsidR="00000000" w:rsidRPr="00000000">
        <w:rPr>
          <w:rtl w:val="0"/>
        </w:rPr>
        <w:t xml:space="preserve"> (двести тридцать) евро;</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-Бронирование проживания с питанием в Болгарии: </w:t>
      </w:r>
      <w:r w:rsidDel="00000000" w:rsidR="00000000" w:rsidRPr="00000000">
        <w:rPr>
          <w:rtl w:val="0"/>
        </w:rPr>
        <w:t xml:space="preserve">200</w:t>
      </w:r>
      <w:r w:rsidDel="00000000" w:rsidR="00000000" w:rsidRPr="00000000">
        <w:rPr>
          <w:rtl w:val="0"/>
        </w:rPr>
        <w:t xml:space="preserve"> (Двести) евро;</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6">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70 (семьдесят) евро</w:t>
      </w:r>
      <w:r w:rsidDel="00000000" w:rsidR="00000000" w:rsidRPr="00000000">
        <w:rPr>
          <w:rtl w:val="0"/>
        </w:rPr>
        <w:t xml:space="preserve">. </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8">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B">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C">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430</w:t>
      </w:r>
      <w:r w:rsidDel="00000000" w:rsidR="00000000" w:rsidRPr="00000000">
        <w:rPr>
          <w:rtl w:val="0"/>
        </w:rPr>
        <w:t xml:space="preserve"> (</w:t>
      </w:r>
      <w:r w:rsidDel="00000000" w:rsidR="00000000" w:rsidRPr="00000000">
        <w:rPr>
          <w:b w:val="1"/>
          <w:bCs w:val="1"/>
          <w:rtl w:val="0"/>
        </w:rPr>
        <w:t xml:space="preserve">четыреста тридцать)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F0">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F1">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2">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7">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8">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9">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A">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F">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00">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7">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8">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9">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A">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______2026</w:t>
      </w:r>
      <w:r w:rsidDel="00000000" w:rsidR="00000000" w:rsidRPr="00000000">
        <w:rPr>
          <w:rtl w:val="0"/>
        </w:rPr>
      </w:r>
    </w:p>
    <w:p w:rsidR="00000000" w:rsidDel="00000000" w:rsidP="00000000" w:rsidRDefault="00000000" w:rsidRPr="00000000" w14:paraId="0000010B">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D">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E">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F">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C">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E">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F">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B">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C">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D">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4">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5">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6">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7">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C">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D">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7">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8">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A">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B">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C">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D">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№___/2026 от ______2026</w:t>
      </w:r>
      <w:r w:rsidDel="00000000" w:rsidR="00000000" w:rsidRPr="00000000">
        <w:rPr>
          <w:rtl w:val="0"/>
        </w:rPr>
      </w:r>
    </w:p>
    <w:p w:rsidR="00000000" w:rsidDel="00000000" w:rsidP="00000000" w:rsidRDefault="00000000" w:rsidRPr="00000000" w14:paraId="0000014E">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F">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D">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60">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61">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4">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5">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7">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7">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8">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F">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80">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B">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C">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D">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F">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91">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2">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3">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B">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C">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D">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E">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3">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4">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E">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F">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0">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1">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2">
      <w:pPr>
        <w:spacing w:after="0" w:before="0" w:line="240" w:lineRule="auto"/>
        <w:ind w:right="-134"/>
        <w:rPr/>
      </w:pPr>
      <w:r w:rsidDel="00000000" w:rsidR="00000000" w:rsidRPr="00000000">
        <w:rPr>
          <w:rtl w:val="0"/>
        </w:rPr>
      </w:r>
    </w:p>
    <w:p w:rsidR="00000000" w:rsidDel="00000000" w:rsidP="00000000" w:rsidRDefault="00000000" w:rsidRPr="00000000" w14:paraId="000001B3">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4">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/2026  от _________.2026</w:t>
      </w:r>
      <w:r w:rsidDel="00000000" w:rsidR="00000000" w:rsidRPr="00000000">
        <w:rPr>
          <w:rtl w:val="0"/>
        </w:rPr>
      </w:r>
    </w:p>
    <w:p w:rsidR="00000000" w:rsidDel="00000000" w:rsidP="00000000" w:rsidRDefault="00000000" w:rsidRPr="00000000" w14:paraId="000001B5">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6">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7">
      <w:pPr>
        <w:spacing w:after="0" w:before="0" w:line="240" w:lineRule="auto"/>
        <w:ind w:right="-134"/>
        <w:rPr/>
      </w:pPr>
      <w:r w:rsidDel="00000000" w:rsidR="00000000" w:rsidRPr="00000000">
        <w:rPr>
          <w:rtl w:val="0"/>
        </w:rPr>
        <w:t xml:space="preserve">________2026                                                                                                                                                             г.Минск</w:t>
      </w:r>
    </w:p>
    <w:p w:rsidR="00000000" w:rsidDel="00000000" w:rsidP="00000000" w:rsidRDefault="00000000" w:rsidRPr="00000000" w14:paraId="000001B8">
      <w:pPr>
        <w:spacing w:after="0" w:before="0" w:line="240" w:lineRule="auto"/>
        <w:ind w:right="-134"/>
        <w:rPr/>
      </w:pPr>
      <w:r w:rsidDel="00000000" w:rsidR="00000000" w:rsidRPr="00000000">
        <w:rPr>
          <w:rtl w:val="0"/>
        </w:rPr>
      </w:r>
    </w:p>
    <w:p w:rsidR="00000000" w:rsidDel="00000000" w:rsidP="00000000" w:rsidRDefault="00000000" w:rsidRPr="00000000" w14:paraId="000001B9">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A">
      <w:pPr>
        <w:spacing w:after="0" w:before="0" w:line="240" w:lineRule="auto"/>
        <w:ind w:right="-134"/>
        <w:jc w:val="both"/>
        <w:rPr/>
      </w:pPr>
      <w:r w:rsidDel="00000000" w:rsidR="00000000" w:rsidRPr="00000000">
        <w:rPr>
          <w:rtl w:val="0"/>
        </w:rPr>
      </w:r>
    </w:p>
    <w:p w:rsidR="00000000" w:rsidDel="00000000" w:rsidP="00000000" w:rsidRDefault="00000000" w:rsidRPr="00000000" w14:paraId="000001BB">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/2026 от ___________2026</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C">
      <w:pPr>
        <w:spacing w:after="0" w:before="0" w:line="240" w:lineRule="auto"/>
        <w:ind w:right="-134"/>
        <w:rPr/>
      </w:pPr>
      <w:r w:rsidDel="00000000" w:rsidR="00000000" w:rsidRPr="00000000">
        <w:rPr>
          <w:rtl w:val="0"/>
        </w:rPr>
      </w:r>
    </w:p>
    <w:p w:rsidR="00000000" w:rsidDel="00000000" w:rsidP="00000000" w:rsidRDefault="00000000" w:rsidRPr="00000000" w14:paraId="000001BD">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E">
      <w:pPr>
        <w:spacing w:after="0" w:before="0" w:line="240" w:lineRule="auto"/>
        <w:ind w:right="-134"/>
        <w:rPr/>
      </w:pPr>
      <w:r w:rsidDel="00000000" w:rsidR="00000000" w:rsidRPr="00000000">
        <w:rPr>
          <w:rtl w:val="0"/>
        </w:rPr>
      </w:r>
    </w:p>
    <w:p w:rsidR="00000000" w:rsidDel="00000000" w:rsidP="00000000" w:rsidRDefault="00000000" w:rsidRPr="00000000" w14:paraId="000001BF">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C0">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C1">
      <w:pPr>
        <w:spacing w:after="0" w:before="0" w:line="240" w:lineRule="auto"/>
        <w:ind w:right="-134"/>
        <w:rPr/>
      </w:pPr>
      <w:r w:rsidDel="00000000" w:rsidR="00000000" w:rsidRPr="00000000">
        <w:rPr>
          <w:rtl w:val="0"/>
        </w:rPr>
      </w:r>
    </w:p>
    <w:p w:rsidR="00000000" w:rsidDel="00000000" w:rsidP="00000000" w:rsidRDefault="00000000" w:rsidRPr="00000000" w14:paraId="000001C2">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3">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9">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A">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B">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C">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D">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E">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F">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4">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5">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F">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E0">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E1">
      <w:pPr>
        <w:rPr/>
      </w:pPr>
      <w:r w:rsidDel="00000000" w:rsidR="00000000" w:rsidRPr="00000000">
        <w:br w:type="page"/>
      </w:r>
      <w:r w:rsidDel="00000000" w:rsidR="00000000" w:rsidRPr="00000000">
        <w:rPr>
          <w:rtl w:val="0"/>
        </w:rPr>
      </w:r>
    </w:p>
    <w:p w:rsidR="00000000" w:rsidDel="00000000" w:rsidP="00000000" w:rsidRDefault="00000000" w:rsidRPr="00000000" w14:paraId="000001E2">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3">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4">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1E5">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B">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C">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D">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pPr>
      <w:r w:rsidDel="00000000" w:rsidR="00000000" w:rsidRPr="00000000">
        <w:rPr>
          <w:rtl w:val="0"/>
        </w:rPr>
      </w:r>
    </w:p>
    <w:p w:rsidR="00000000" w:rsidDel="00000000" w:rsidP="00000000" w:rsidRDefault="00000000" w:rsidRPr="00000000" w14:paraId="00000203">
      <w:pPr>
        <w:spacing w:after="0" w:before="0" w:line="276" w:lineRule="auto"/>
        <w:ind w:right="-134"/>
        <w:jc w:val="both"/>
        <w:rPr/>
      </w:pPr>
      <w:r w:rsidDel="00000000" w:rsidR="00000000" w:rsidRPr="00000000">
        <w:rPr>
          <w:rtl w:val="0"/>
        </w:rPr>
      </w:r>
    </w:p>
    <w:p w:rsidR="00000000" w:rsidDel="00000000" w:rsidP="00000000" w:rsidRDefault="00000000" w:rsidRPr="00000000" w14:paraId="00000204">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5">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6">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8">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9">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A">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/2026 </w:t>
      </w:r>
      <w:r w:rsidDel="00000000" w:rsidR="00000000" w:rsidRPr="00000000">
        <w:rPr>
          <w:rtl w:val="0"/>
        </w:rPr>
        <w:t xml:space="preserve">от _____2026</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B">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C">
      <w:pPr>
        <w:spacing w:before="160" w:line="200" w:lineRule="auto"/>
        <w:ind w:right="-466.062992125984"/>
        <w:jc w:val="both"/>
        <w:rPr>
          <w:b w:val="1"/>
          <w:bCs w:val="1"/>
        </w:rPr>
      </w:pPr>
      <w:r w:rsidDel="00000000" w:rsidR="00000000" w:rsidRPr="00000000">
        <w:rPr>
          <w:b w:val="1"/>
          <w:bCs w:val="1"/>
          <w:rtl w:val="0"/>
        </w:rPr>
        <w:t xml:space="preserve">Минск - Сентендре - 3 дня на море в Несебре - Стамбул - София - Белград - Будапешт - Кошице - Люблин - Минск</w:t>
      </w:r>
    </w:p>
    <w:p w:rsidR="00000000" w:rsidDel="00000000" w:rsidP="00000000" w:rsidRDefault="00000000" w:rsidRPr="00000000" w14:paraId="0000020D">
      <w:pPr>
        <w:spacing w:after="0" w:line="240" w:lineRule="auto"/>
        <w:ind w:left="-425.19685039370086"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E">
      <w:pPr>
        <w:spacing w:after="0" w:line="240" w:lineRule="auto"/>
        <w:ind w:left="-425.19685039370086" w:right="-466.062992125984" w:firstLine="0"/>
        <w:jc w:val="both"/>
        <w:rPr/>
      </w:pPr>
      <w:r w:rsidDel="00000000" w:rsidR="00000000" w:rsidRPr="00000000">
        <w:rPr>
          <w:rtl w:val="0"/>
        </w:rPr>
        <w:t xml:space="preserve">Выезд из </w:t>
      </w:r>
      <w:r w:rsidDel="00000000" w:rsidR="00000000" w:rsidRPr="00000000">
        <w:rPr>
          <w:highlight w:val="white"/>
          <w:rtl w:val="0"/>
        </w:rPr>
        <w:t xml:space="preserve">Минска </w:t>
      </w:r>
      <w:r w:rsidDel="00000000" w:rsidR="00000000" w:rsidRPr="00000000">
        <w:rPr>
          <w:rtl w:val="0"/>
        </w:rPr>
        <w:t xml:space="preserve">ориентировочно в 15.00. Выезд из Бреста ориентировочно 20.30. Прохождение границы. </w:t>
      </w:r>
    </w:p>
    <w:p w:rsidR="00000000" w:rsidDel="00000000" w:rsidP="00000000" w:rsidRDefault="00000000" w:rsidRPr="00000000" w14:paraId="0000020F">
      <w:pPr>
        <w:spacing w:after="0" w:line="240" w:lineRule="auto"/>
        <w:ind w:left="-425.19685039370086" w:right="-466.062992125984"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10">
      <w:pPr>
        <w:shd w:fill="ffffff" w:val="clear"/>
        <w:spacing w:after="0" w:line="240" w:lineRule="auto"/>
        <w:ind w:left="-425.19685039370086" w:right="-10.8661417322827" w:firstLine="0"/>
        <w:jc w:val="both"/>
        <w:rPr>
          <w:highlight w:val="white"/>
        </w:rPr>
      </w:pPr>
      <w:r w:rsidDel="00000000" w:rsidR="00000000" w:rsidRPr="00000000">
        <w:rPr>
          <w:highlight w:val="white"/>
          <w:rtl w:val="0"/>
        </w:rPr>
        <w:t xml:space="preserve">Переезд по территории Польши, Словакии, Венгрии. Прибытие в транзитный отель в Венгрии. Отдых после длительного переезда.</w:t>
      </w:r>
    </w:p>
    <w:p w:rsidR="00000000" w:rsidDel="00000000" w:rsidP="00000000" w:rsidRDefault="00000000" w:rsidRPr="00000000" w14:paraId="00000211">
      <w:pPr>
        <w:spacing w:after="0" w:line="240" w:lineRule="auto"/>
        <w:ind w:left="-425.19685039370086" w:right="-466.062992125984"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2">
      <w:pPr>
        <w:spacing w:after="0" w:line="240" w:lineRule="auto"/>
        <w:ind w:left="-425.19685039370086" w:right="-10.8661417322827"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13">
      <w:pPr>
        <w:spacing w:after="0" w:line="240" w:lineRule="auto"/>
        <w:ind w:left="-425.19685039370086" w:right="-10.8661417322827" w:firstLine="0"/>
        <w:jc w:val="both"/>
        <w:rPr/>
      </w:pPr>
      <w:r w:rsidDel="00000000" w:rsidR="00000000" w:rsidRPr="00000000">
        <w:rPr>
          <w:rtl w:val="0"/>
        </w:rPr>
        <w:t xml:space="preserve">Переезд в </w:t>
      </w:r>
      <w:r w:rsidDel="00000000" w:rsidR="00000000" w:rsidRPr="00000000">
        <w:rPr>
          <w:highlight w:val="white"/>
          <w:rtl w:val="0"/>
        </w:rPr>
        <w:t xml:space="preserve">Сентэндре. </w:t>
      </w:r>
      <w:r w:rsidDel="00000000" w:rsidR="00000000" w:rsidRPr="00000000">
        <w:rPr>
          <w:rtl w:val="0"/>
        </w:rPr>
        <w:t xml:space="preserve">Обзорная экскурсия и свободное время в городе.</w:t>
      </w:r>
    </w:p>
    <w:p w:rsidR="00000000" w:rsidDel="00000000" w:rsidP="00000000" w:rsidRDefault="00000000" w:rsidRPr="00000000" w14:paraId="00000214">
      <w:pPr>
        <w:spacing w:after="0" w:line="240" w:lineRule="auto"/>
        <w:ind w:left="-425.19685039370086" w:right="-10.8661417322827" w:firstLine="0"/>
        <w:jc w:val="both"/>
        <w:rPr/>
      </w:pPr>
      <w:r w:rsidDel="00000000" w:rsidR="00000000" w:rsidRPr="00000000">
        <w:rPr>
          <w:rtl w:val="0"/>
        </w:rPr>
        <w:t xml:space="preserve">Переезд в Сербию на ночлег. </w:t>
      </w:r>
    </w:p>
    <w:p w:rsidR="00000000" w:rsidDel="00000000" w:rsidP="00000000" w:rsidRDefault="00000000" w:rsidRPr="00000000" w14:paraId="00000215">
      <w:pPr>
        <w:spacing w:after="0" w:line="240" w:lineRule="auto"/>
        <w:ind w:left="-425.19685039370086" w:right="-466.062992125984"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16">
      <w:pPr>
        <w:spacing w:after="0" w:line="240" w:lineRule="auto"/>
        <w:ind w:left="-425.19685039370086" w:firstLine="0"/>
        <w:rPr/>
      </w:pPr>
      <w:r w:rsidDel="00000000" w:rsidR="00000000" w:rsidRPr="00000000">
        <w:rPr>
          <w:rtl w:val="0"/>
        </w:rPr>
        <w:t xml:space="preserve">Завтрак в отеле. Выселение. </w:t>
      </w:r>
    </w:p>
    <w:p w:rsidR="00000000" w:rsidDel="00000000" w:rsidP="00000000" w:rsidRDefault="00000000" w:rsidRPr="00000000" w14:paraId="00000217">
      <w:pPr>
        <w:spacing w:after="0" w:line="240" w:lineRule="auto"/>
        <w:ind w:left="-425.19685039370086" w:firstLine="0"/>
        <w:rPr/>
      </w:pPr>
      <w:r w:rsidDel="00000000" w:rsidR="00000000" w:rsidRPr="00000000">
        <w:rPr>
          <w:rtl w:val="0"/>
        </w:rPr>
        <w:t xml:space="preserve">Переезд в Болгарию. Заселение в отель. Отдых на море. Ужин в отеле.</w:t>
      </w:r>
    </w:p>
    <w:p w:rsidR="00000000" w:rsidDel="00000000" w:rsidP="00000000" w:rsidRDefault="00000000" w:rsidRPr="00000000" w14:paraId="00000218">
      <w:pPr>
        <w:pStyle w:val="Heading3"/>
        <w:keepNext w:val="0"/>
        <w:keepLines w:val="0"/>
        <w:pBdr>
          <w:left w:color="auto" w:space="0" w:sz="0" w:val="none"/>
        </w:pBdr>
        <w:shd w:fill="ffffff" w:val="clear"/>
        <w:spacing w:after="0" w:before="0" w:line="240" w:lineRule="auto"/>
        <w:ind w:left="-425.19685039370086" w:right="-10.8661417322827" w:firstLine="0"/>
        <w:jc w:val="both"/>
        <w:rPr>
          <w:sz w:val="18"/>
          <w:szCs w:val="18"/>
        </w:rPr>
      </w:pPr>
      <w:bookmarkStart w:colFirst="0" w:colLast="0" w:name="_heading=h.rbyymvf8s9c" w:id="0"/>
      <w:bookmarkEnd w:id="0"/>
      <w:r w:rsidDel="00000000" w:rsidR="00000000" w:rsidRPr="00000000">
        <w:rPr>
          <w:sz w:val="18"/>
          <w:szCs w:val="18"/>
          <w:rtl w:val="0"/>
        </w:rPr>
        <w:t xml:space="preserve">5 - 7 день: </w:t>
      </w:r>
    </w:p>
    <w:p w:rsidR="00000000" w:rsidDel="00000000" w:rsidP="00000000" w:rsidRDefault="00000000" w:rsidRPr="00000000" w14:paraId="00000219">
      <w:pPr>
        <w:pStyle w:val="Heading3"/>
        <w:keepNext w:val="0"/>
        <w:keepLines w:val="0"/>
        <w:pBdr>
          <w:left w:color="auto" w:space="0" w:sz="0" w:val="none"/>
        </w:pBdr>
        <w:shd w:fill="ffffff" w:val="clear"/>
        <w:spacing w:after="0" w:before="0" w:line="240" w:lineRule="auto"/>
        <w:ind w:left="-425.19685039370086" w:right="-10.8661417322827" w:firstLine="0"/>
        <w:jc w:val="both"/>
        <w:rPr>
          <w:b w:val="0"/>
          <w:bCs w:val="0"/>
          <w:sz w:val="18"/>
          <w:szCs w:val="18"/>
        </w:rPr>
      </w:pPr>
      <w:bookmarkStart w:colFirst="0" w:colLast="0" w:name="_heading=h.rbvry6sgz9e" w:id="1"/>
      <w:bookmarkEnd w:id="1"/>
      <w:r w:rsidDel="00000000" w:rsidR="00000000" w:rsidRPr="00000000">
        <w:rPr>
          <w:b w:val="0"/>
          <w:bCs w:val="0"/>
          <w:sz w:val="18"/>
          <w:szCs w:val="18"/>
          <w:rtl w:val="0"/>
        </w:rPr>
        <w:t xml:space="preserve">Отдых на черноморском побережье Болгарии (заезд в июле и августе - Несебр, гостиница Бохеми 3*, заезд в сентябре - Солнечный Берег, гостиница Явор 4*.</w:t>
      </w:r>
    </w:p>
    <w:p w:rsidR="00000000" w:rsidDel="00000000" w:rsidP="00000000" w:rsidRDefault="00000000" w:rsidRPr="00000000" w14:paraId="0000021A">
      <w:pPr>
        <w:pStyle w:val="Heading3"/>
        <w:keepNext w:val="0"/>
        <w:keepLines w:val="0"/>
        <w:pBdr>
          <w:left w:color="auto" w:space="0" w:sz="0" w:val="none"/>
        </w:pBdr>
        <w:shd w:fill="ffffff" w:val="clear"/>
        <w:spacing w:after="0" w:before="0" w:line="240" w:lineRule="auto"/>
        <w:ind w:left="-425.19685039370086" w:right="-10.8661417322827" w:firstLine="0"/>
        <w:jc w:val="both"/>
        <w:rPr>
          <w:b w:val="0"/>
          <w:bCs w:val="0"/>
          <w:sz w:val="18"/>
          <w:szCs w:val="18"/>
        </w:rPr>
      </w:pPr>
      <w:bookmarkStart w:colFirst="0" w:colLast="0" w:name="_heading=h.ppwagsu1sgi5" w:id="2"/>
      <w:bookmarkEnd w:id="2"/>
      <w:r w:rsidDel="00000000" w:rsidR="00000000" w:rsidRPr="00000000">
        <w:rPr>
          <w:sz w:val="18"/>
          <w:szCs w:val="18"/>
          <w:rtl w:val="0"/>
        </w:rPr>
        <w:t xml:space="preserve">8 день: </w:t>
      </w:r>
      <w:r w:rsidDel="00000000" w:rsidR="00000000" w:rsidRPr="00000000">
        <w:rPr>
          <w:rtl w:val="0"/>
        </w:rPr>
      </w:r>
    </w:p>
    <w:p w:rsidR="00000000" w:rsidDel="00000000" w:rsidP="00000000" w:rsidRDefault="00000000" w:rsidRPr="00000000" w14:paraId="0000021B">
      <w:pPr>
        <w:spacing w:after="0" w:line="240" w:lineRule="auto"/>
        <w:ind w:left="-425.19685039370086" w:firstLine="0"/>
        <w:jc w:val="both"/>
        <w:rPr/>
      </w:pPr>
      <w:r w:rsidDel="00000000" w:rsidR="00000000" w:rsidRPr="00000000">
        <w:rPr>
          <w:rtl w:val="0"/>
        </w:rPr>
        <w:t xml:space="preserve">Завтрак в дорогу сухим пайком. Раннее выселение.</w:t>
      </w:r>
    </w:p>
    <w:p w:rsidR="00000000" w:rsidDel="00000000" w:rsidP="00000000" w:rsidRDefault="00000000" w:rsidRPr="00000000" w14:paraId="0000021C">
      <w:pPr>
        <w:spacing w:after="0" w:line="240" w:lineRule="auto"/>
        <w:ind w:left="-425.19685039370086" w:firstLine="0"/>
        <w:jc w:val="both"/>
        <w:rPr/>
      </w:pPr>
      <w:r w:rsidDel="00000000" w:rsidR="00000000" w:rsidRPr="00000000">
        <w:rPr>
          <w:rtl w:val="0"/>
        </w:rPr>
        <w:t xml:space="preserve">Переезд в Стамбул..</w:t>
      </w:r>
    </w:p>
    <w:p w:rsidR="00000000" w:rsidDel="00000000" w:rsidP="00000000" w:rsidRDefault="00000000" w:rsidRPr="00000000" w14:paraId="0000021D">
      <w:pPr>
        <w:spacing w:after="0" w:line="240" w:lineRule="auto"/>
        <w:ind w:left="-425.19685039370086" w:firstLine="0"/>
        <w:jc w:val="both"/>
        <w:rPr/>
      </w:pPr>
      <w:r w:rsidDel="00000000" w:rsidR="00000000" w:rsidRPr="00000000">
        <w:rPr>
          <w:rtl w:val="0"/>
        </w:rPr>
        <w:t xml:space="preserve">Обзорная экскурсия по Стамбулу.</w:t>
      </w:r>
    </w:p>
    <w:p w:rsidR="00000000" w:rsidDel="00000000" w:rsidP="00000000" w:rsidRDefault="00000000" w:rsidRPr="00000000" w14:paraId="0000021E">
      <w:pPr>
        <w:spacing w:after="0" w:line="240" w:lineRule="auto"/>
        <w:ind w:left="-425.19685039370086" w:firstLine="0"/>
        <w:jc w:val="both"/>
        <w:rPr/>
      </w:pPr>
      <w:r w:rsidDel="00000000" w:rsidR="00000000" w:rsidRPr="00000000">
        <w:rPr>
          <w:rtl w:val="0"/>
        </w:rPr>
        <w:t xml:space="preserve">Заселение в отель. Свободное время. </w:t>
      </w:r>
    </w:p>
    <w:p w:rsidR="00000000" w:rsidDel="00000000" w:rsidP="00000000" w:rsidRDefault="00000000" w:rsidRPr="00000000" w14:paraId="0000021F">
      <w:pPr>
        <w:spacing w:after="0" w:line="240" w:lineRule="auto"/>
        <w:ind w:left="-425.19685039370086" w:firstLine="0"/>
        <w:jc w:val="both"/>
        <w:rPr>
          <w:b w:val="1"/>
          <w:bCs w:val="1"/>
        </w:rPr>
      </w:pPr>
      <w:r w:rsidDel="00000000" w:rsidR="00000000" w:rsidRPr="00000000">
        <w:rPr>
          <w:rtl w:val="0"/>
        </w:rPr>
        <w:t xml:space="preserve">Ночлег</w:t>
      </w:r>
      <w:r w:rsidDel="00000000" w:rsidR="00000000" w:rsidRPr="00000000">
        <w:rPr>
          <w:b w:val="1"/>
          <w:bCs w:val="1"/>
          <w:rtl w:val="0"/>
        </w:rPr>
        <w:t xml:space="preserve">.</w:t>
      </w:r>
    </w:p>
    <w:p w:rsidR="00000000" w:rsidDel="00000000" w:rsidP="00000000" w:rsidRDefault="00000000" w:rsidRPr="00000000" w14:paraId="00000220">
      <w:pPr>
        <w:pStyle w:val="Heading3"/>
        <w:keepNext w:val="0"/>
        <w:keepLines w:val="0"/>
        <w:pBdr>
          <w:left w:color="auto" w:space="0" w:sz="0" w:val="none"/>
        </w:pBdr>
        <w:shd w:fill="ffffff" w:val="clear"/>
        <w:spacing w:after="0" w:before="0" w:line="240" w:lineRule="auto"/>
        <w:ind w:left="-425.19685039370086" w:right="-10.8661417322827" w:firstLine="0"/>
        <w:jc w:val="both"/>
        <w:rPr>
          <w:b w:val="0"/>
          <w:bCs w:val="0"/>
          <w:sz w:val="18"/>
          <w:szCs w:val="18"/>
        </w:rPr>
      </w:pPr>
      <w:bookmarkStart w:colFirst="0" w:colLast="0" w:name="_heading=h.owuptybw7npi" w:id="3"/>
      <w:bookmarkEnd w:id="3"/>
      <w:r w:rsidDel="00000000" w:rsidR="00000000" w:rsidRPr="00000000">
        <w:rPr>
          <w:sz w:val="18"/>
          <w:szCs w:val="18"/>
          <w:rtl w:val="0"/>
        </w:rPr>
        <w:t xml:space="preserve">9 день:       </w:t>
      </w:r>
      <w:r w:rsidDel="00000000" w:rsidR="00000000" w:rsidRPr="00000000">
        <w:rPr>
          <w:rtl w:val="0"/>
        </w:rPr>
      </w:r>
    </w:p>
    <w:p w:rsidR="00000000" w:rsidDel="00000000" w:rsidP="00000000" w:rsidRDefault="00000000" w:rsidRPr="00000000" w14:paraId="00000221">
      <w:pPr>
        <w:spacing w:after="0" w:line="240" w:lineRule="auto"/>
        <w:ind w:left="-425.19685039370086"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22">
      <w:pPr>
        <w:spacing w:after="0" w:line="240" w:lineRule="auto"/>
        <w:ind w:left="-425.19685039370086" w:firstLine="0"/>
        <w:jc w:val="both"/>
        <w:rPr/>
      </w:pPr>
      <w:r w:rsidDel="00000000" w:rsidR="00000000" w:rsidRPr="00000000">
        <w:rPr>
          <w:rtl w:val="0"/>
        </w:rPr>
        <w:t xml:space="preserve">Переезд в Софию. Заселение в отель. </w:t>
      </w:r>
    </w:p>
    <w:p w:rsidR="00000000" w:rsidDel="00000000" w:rsidP="00000000" w:rsidRDefault="00000000" w:rsidRPr="00000000" w14:paraId="00000223">
      <w:pPr>
        <w:spacing w:after="0" w:line="240" w:lineRule="auto"/>
        <w:ind w:left="-425.19685039370086" w:firstLine="0"/>
        <w:jc w:val="both"/>
        <w:rPr/>
      </w:pPr>
      <w:r w:rsidDel="00000000" w:rsidR="00000000" w:rsidRPr="00000000">
        <w:rPr>
          <w:rtl w:val="0"/>
        </w:rPr>
        <w:t xml:space="preserve">Ночлег.</w:t>
      </w:r>
    </w:p>
    <w:p w:rsidR="00000000" w:rsidDel="00000000" w:rsidP="00000000" w:rsidRDefault="00000000" w:rsidRPr="00000000" w14:paraId="00000224">
      <w:pPr>
        <w:spacing w:after="0" w:line="240" w:lineRule="auto"/>
        <w:ind w:left="-425.19685039370086" w:firstLine="0"/>
        <w:rPr>
          <w:b w:val="1"/>
          <w:bCs w:val="1"/>
        </w:rPr>
      </w:pPr>
      <w:r w:rsidDel="00000000" w:rsidR="00000000" w:rsidRPr="00000000">
        <w:rPr>
          <w:b w:val="1"/>
          <w:bCs w:val="1"/>
          <w:rtl w:val="0"/>
        </w:rPr>
        <w:t xml:space="preserve">10 день:</w:t>
      </w:r>
    </w:p>
    <w:p w:rsidR="00000000" w:rsidDel="00000000" w:rsidP="00000000" w:rsidRDefault="00000000" w:rsidRPr="00000000" w14:paraId="00000225">
      <w:pPr>
        <w:spacing w:after="0" w:line="240" w:lineRule="auto"/>
        <w:ind w:left="-425.19685039370086"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26">
      <w:pPr>
        <w:spacing w:after="0" w:line="240" w:lineRule="auto"/>
        <w:ind w:left="-425.19685039370086" w:firstLine="0"/>
        <w:jc w:val="both"/>
        <w:rPr/>
      </w:pPr>
      <w:r w:rsidDel="00000000" w:rsidR="00000000" w:rsidRPr="00000000">
        <w:rPr>
          <w:rtl w:val="0"/>
        </w:rPr>
        <w:t xml:space="preserve">Обзорная экскурсия по Софии.  Свободное время. </w:t>
      </w:r>
    </w:p>
    <w:p w:rsidR="00000000" w:rsidDel="00000000" w:rsidP="00000000" w:rsidRDefault="00000000" w:rsidRPr="00000000" w14:paraId="00000227">
      <w:pPr>
        <w:spacing w:after="0" w:line="240" w:lineRule="auto"/>
        <w:ind w:left="-425.19685039370086" w:firstLine="0"/>
        <w:jc w:val="both"/>
        <w:rPr/>
      </w:pPr>
      <w:r w:rsidDel="00000000" w:rsidR="00000000" w:rsidRPr="00000000">
        <w:rPr>
          <w:rtl w:val="0"/>
        </w:rPr>
        <w:t xml:space="preserve">Переезд в Белград. Обзорная экскурсия по Белграду. </w:t>
      </w:r>
    </w:p>
    <w:p w:rsidR="00000000" w:rsidDel="00000000" w:rsidP="00000000" w:rsidRDefault="00000000" w:rsidRPr="00000000" w14:paraId="00000228">
      <w:pPr>
        <w:spacing w:after="0" w:line="240" w:lineRule="auto"/>
        <w:ind w:left="-425.19685039370086" w:firstLine="0"/>
        <w:jc w:val="both"/>
        <w:rPr/>
      </w:pPr>
      <w:r w:rsidDel="00000000" w:rsidR="00000000" w:rsidRPr="00000000">
        <w:rPr>
          <w:rtl w:val="0"/>
        </w:rPr>
        <w:t xml:space="preserve">Ночлег на территории Венгрии.</w:t>
      </w:r>
    </w:p>
    <w:p w:rsidR="00000000" w:rsidDel="00000000" w:rsidP="00000000" w:rsidRDefault="00000000" w:rsidRPr="00000000" w14:paraId="00000229">
      <w:pPr>
        <w:spacing w:after="0" w:line="240" w:lineRule="auto"/>
        <w:ind w:left="-425.19685039370086" w:firstLine="0"/>
        <w:rPr/>
      </w:pPr>
      <w:r w:rsidDel="00000000" w:rsidR="00000000" w:rsidRPr="00000000">
        <w:rPr>
          <w:b w:val="1"/>
          <w:bCs w:val="1"/>
          <w:rtl w:val="0"/>
        </w:rPr>
        <w:t xml:space="preserve">11 день:</w:t>
      </w:r>
      <w:r w:rsidDel="00000000" w:rsidR="00000000" w:rsidRPr="00000000">
        <w:rPr>
          <w:rtl w:val="0"/>
        </w:rPr>
        <w:t xml:space="preserve"> </w:t>
      </w:r>
    </w:p>
    <w:p w:rsidR="00000000" w:rsidDel="00000000" w:rsidP="00000000" w:rsidRDefault="00000000" w:rsidRPr="00000000" w14:paraId="0000022A">
      <w:pPr>
        <w:spacing w:after="0" w:line="240" w:lineRule="auto"/>
        <w:ind w:left="-425.19685039370086" w:firstLine="0"/>
        <w:jc w:val="both"/>
        <w:rPr/>
      </w:pPr>
      <w:r w:rsidDel="00000000" w:rsidR="00000000" w:rsidRPr="00000000">
        <w:rPr>
          <w:rtl w:val="0"/>
        </w:rPr>
        <w:t xml:space="preserve">Завтрак в отеле. Выселение.</w:t>
      </w:r>
    </w:p>
    <w:p w:rsidR="00000000" w:rsidDel="00000000" w:rsidP="00000000" w:rsidRDefault="00000000" w:rsidRPr="00000000" w14:paraId="0000022B">
      <w:pPr>
        <w:spacing w:after="0" w:line="240" w:lineRule="auto"/>
        <w:ind w:left="-425.19685039370086" w:firstLine="0"/>
        <w:jc w:val="both"/>
        <w:rPr/>
      </w:pPr>
      <w:r w:rsidDel="00000000" w:rsidR="00000000" w:rsidRPr="00000000">
        <w:rPr>
          <w:rtl w:val="0"/>
        </w:rPr>
        <w:t xml:space="preserve">Переезд в Будапешт. Обзорная экскурсия по Будапешту. Свободное время. </w:t>
      </w:r>
    </w:p>
    <w:p w:rsidR="00000000" w:rsidDel="00000000" w:rsidP="00000000" w:rsidRDefault="00000000" w:rsidRPr="00000000" w14:paraId="0000022C">
      <w:pPr>
        <w:spacing w:after="0" w:line="240" w:lineRule="auto"/>
        <w:ind w:left="-425.19685039370086" w:firstLine="0"/>
        <w:jc w:val="both"/>
        <w:rPr/>
      </w:pPr>
      <w:r w:rsidDel="00000000" w:rsidR="00000000" w:rsidRPr="00000000">
        <w:rPr>
          <w:rtl w:val="0"/>
        </w:rPr>
        <w:t xml:space="preserve">Переезд на ночлег в Кошице.</w:t>
      </w:r>
    </w:p>
    <w:p w:rsidR="00000000" w:rsidDel="00000000" w:rsidP="00000000" w:rsidRDefault="00000000" w:rsidRPr="00000000" w14:paraId="0000022D">
      <w:pPr>
        <w:spacing w:after="0" w:line="240" w:lineRule="auto"/>
        <w:ind w:left="-425.19685039370086" w:firstLine="0"/>
        <w:rPr/>
      </w:pPr>
      <w:r w:rsidDel="00000000" w:rsidR="00000000" w:rsidRPr="00000000">
        <w:rPr>
          <w:b w:val="1"/>
          <w:bCs w:val="1"/>
          <w:rtl w:val="0"/>
        </w:rPr>
        <w:t xml:space="preserve">12 день:</w:t>
      </w:r>
      <w:r w:rsidDel="00000000" w:rsidR="00000000" w:rsidRPr="00000000">
        <w:rPr>
          <w:rtl w:val="0"/>
        </w:rPr>
        <w:t xml:space="preserve"> </w:t>
      </w:r>
    </w:p>
    <w:p w:rsidR="00000000" w:rsidDel="00000000" w:rsidP="00000000" w:rsidRDefault="00000000" w:rsidRPr="00000000" w14:paraId="0000022E">
      <w:pPr>
        <w:spacing w:after="0" w:line="240" w:lineRule="auto"/>
        <w:ind w:left="-425.19685039370086" w:firstLine="0"/>
        <w:jc w:val="both"/>
        <w:rPr/>
      </w:pPr>
      <w:r w:rsidDel="00000000" w:rsidR="00000000" w:rsidRPr="00000000">
        <w:rPr>
          <w:rtl w:val="0"/>
        </w:rPr>
        <w:t xml:space="preserve">Завтрак в отеле. Выселение. </w:t>
      </w:r>
    </w:p>
    <w:p w:rsidR="00000000" w:rsidDel="00000000" w:rsidP="00000000" w:rsidRDefault="00000000" w:rsidRPr="00000000" w14:paraId="0000022F">
      <w:pPr>
        <w:spacing w:after="0" w:line="240" w:lineRule="auto"/>
        <w:ind w:left="-425.19685039370086" w:firstLine="0"/>
        <w:jc w:val="both"/>
        <w:rPr/>
      </w:pPr>
      <w:r w:rsidDel="00000000" w:rsidR="00000000" w:rsidRPr="00000000">
        <w:rPr>
          <w:rtl w:val="0"/>
        </w:rPr>
        <w:t xml:space="preserve">Обзорная экскурсия по Кошице.  </w:t>
      </w:r>
    </w:p>
    <w:p w:rsidR="00000000" w:rsidDel="00000000" w:rsidP="00000000" w:rsidRDefault="00000000" w:rsidRPr="00000000" w14:paraId="00000230">
      <w:pPr>
        <w:spacing w:after="0" w:line="240" w:lineRule="auto"/>
        <w:ind w:left="-425.19685039370086" w:firstLine="0"/>
        <w:jc w:val="both"/>
        <w:rPr/>
      </w:pPr>
      <w:r w:rsidDel="00000000" w:rsidR="00000000" w:rsidRPr="00000000">
        <w:rPr>
          <w:rtl w:val="0"/>
        </w:rPr>
        <w:t xml:space="preserve">Переезд в Люблин. Свободное время.  </w:t>
      </w:r>
    </w:p>
    <w:p w:rsidR="00000000" w:rsidDel="00000000" w:rsidP="00000000" w:rsidRDefault="00000000" w:rsidRPr="00000000" w14:paraId="00000231">
      <w:pPr>
        <w:spacing w:after="0" w:line="240" w:lineRule="auto"/>
        <w:ind w:left="-425.19685039370086" w:firstLine="0"/>
        <w:jc w:val="both"/>
        <w:rPr/>
      </w:pPr>
      <w:r w:rsidDel="00000000" w:rsidR="00000000" w:rsidRPr="00000000">
        <w:rPr>
          <w:rtl w:val="0"/>
        </w:rPr>
        <w:t xml:space="preserve">Транзит по территории Польши и Беларуси. Прохождение границы.</w:t>
      </w:r>
    </w:p>
    <w:p w:rsidR="00000000" w:rsidDel="00000000" w:rsidP="00000000" w:rsidRDefault="00000000" w:rsidRPr="00000000" w14:paraId="00000232">
      <w:pPr>
        <w:spacing w:after="0" w:line="240" w:lineRule="auto"/>
        <w:ind w:left="-425.19685039370086" w:firstLine="0"/>
        <w:rPr/>
      </w:pPr>
      <w:r w:rsidDel="00000000" w:rsidR="00000000" w:rsidRPr="00000000">
        <w:rPr>
          <w:b w:val="1"/>
          <w:bCs w:val="1"/>
          <w:rtl w:val="0"/>
        </w:rPr>
        <w:t xml:space="preserve">13 день:</w:t>
      </w:r>
      <w:r w:rsidDel="00000000" w:rsidR="00000000" w:rsidRPr="00000000">
        <w:rPr>
          <w:rtl w:val="0"/>
        </w:rPr>
        <w:t xml:space="preserve"> </w:t>
      </w:r>
    </w:p>
    <w:p w:rsidR="00000000" w:rsidDel="00000000" w:rsidP="00000000" w:rsidRDefault="00000000" w:rsidRPr="00000000" w14:paraId="00000233">
      <w:pPr>
        <w:shd w:fill="ffffff" w:val="clear"/>
        <w:spacing w:after="0" w:line="276" w:lineRule="auto"/>
        <w:ind w:left="-425.19685039370086" w:right="-10.8661417322827" w:firstLine="0"/>
        <w:jc w:val="both"/>
        <w:rPr/>
      </w:pPr>
      <w:r w:rsidDel="00000000" w:rsidR="00000000" w:rsidRPr="00000000">
        <w:rPr>
          <w:rtl w:val="0"/>
        </w:rPr>
        <w:t xml:space="preserve">Прибытие в Минск.</w:t>
      </w:r>
    </w:p>
    <w:p w:rsidR="00000000" w:rsidDel="00000000" w:rsidP="00000000" w:rsidRDefault="00000000" w:rsidRPr="00000000" w14:paraId="00000234">
      <w:pPr>
        <w:spacing w:after="0" w:line="240" w:lineRule="auto"/>
        <w:ind w:left="-354.33070866141736" w:right="-466.062992125984" w:firstLine="0"/>
        <w:jc w:val="both"/>
        <w:rPr>
          <w:b w:val="1"/>
          <w:bCs w:val="1"/>
        </w:rPr>
      </w:pPr>
      <w:r w:rsidDel="00000000" w:rsidR="00000000" w:rsidRPr="00000000">
        <w:rPr>
          <w:rtl w:val="0"/>
        </w:rPr>
      </w:r>
    </w:p>
    <w:p w:rsidR="00000000" w:rsidDel="00000000" w:rsidP="00000000" w:rsidRDefault="00000000" w:rsidRPr="00000000" w14:paraId="00000235">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36">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37">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38">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  730  евро с человека: </w:t>
      </w:r>
      <w:r w:rsidDel="00000000" w:rsidR="00000000" w:rsidRPr="00000000">
        <w:rPr>
          <w:rtl w:val="0"/>
        </w:rPr>
        <w:t xml:space="preserve"> 500 евро (комплекс туристических услуг, оплачиваемый не позднее даты, указанной в п. 3.2.2 настоящего договора) + 230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39">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3A">
      <w:pPr>
        <w:spacing w:after="0" w:line="240" w:lineRule="auto"/>
        <w:ind w:left="-425.19685039370086" w:right="-466.062992125984" w:firstLine="0"/>
        <w:jc w:val="both"/>
        <w:rPr/>
      </w:pPr>
      <w:r w:rsidDel="00000000" w:rsidR="00000000" w:rsidRPr="00000000">
        <w:rPr>
          <w:rtl w:val="0"/>
        </w:rPr>
        <w:t xml:space="preserve">В туристический пакет входит: обзорные экскурсии (Сентэндре, Белграде, Стамбуле, Софии, Будапеште.), проживание и завтраки  в транзитных отелях, городские налоги (city tax),  транспортные расходы (въездные пошлины на территориях посещаемых объектов, платные парковки).</w:t>
      </w:r>
    </w:p>
    <w:p w:rsidR="00000000" w:rsidDel="00000000" w:rsidP="00000000" w:rsidRDefault="00000000" w:rsidRPr="00000000" w14:paraId="0000023B">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3C">
      <w:pPr>
        <w:widowControl w:val="0"/>
        <w:numPr>
          <w:ilvl w:val="0"/>
          <w:numId w:val="1"/>
        </w:numPr>
        <w:spacing w:after="0" w:line="240" w:lineRule="auto"/>
        <w:ind w:left="720" w:right="-466.062992125984"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3D">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3E">
      <w:pPr>
        <w:widowControl w:val="0"/>
        <w:spacing w:after="0" w:line="240" w:lineRule="auto"/>
        <w:ind w:left="720" w:right="-466.062992125984"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3F">
      <w:pPr>
        <w:widowControl w:val="0"/>
        <w:numPr>
          <w:ilvl w:val="0"/>
          <w:numId w:val="1"/>
        </w:numPr>
        <w:spacing w:after="0" w:line="240" w:lineRule="auto"/>
        <w:ind w:left="720" w:right="-466.062992125984" w:hanging="360"/>
      </w:pPr>
      <w:r w:rsidDel="00000000" w:rsidR="00000000" w:rsidRPr="00000000">
        <w:rPr>
          <w:rtl w:val="0"/>
        </w:rPr>
        <w:t xml:space="preserve">консульский сбор за открытие визы - 35 €</w:t>
      </w:r>
    </w:p>
    <w:p w:rsidR="00000000" w:rsidDel="00000000" w:rsidP="00000000" w:rsidRDefault="00000000" w:rsidRPr="00000000" w14:paraId="00000240">
      <w:pPr>
        <w:widowControl w:val="0"/>
        <w:numPr>
          <w:ilvl w:val="0"/>
          <w:numId w:val="1"/>
        </w:numPr>
        <w:spacing w:after="0" w:line="240" w:lineRule="auto"/>
        <w:ind w:left="720" w:right="-466.062992125984"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41">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42">
      <w:pPr>
        <w:widowControl w:val="0"/>
        <w:spacing w:after="200" w:line="276" w:lineRule="auto"/>
        <w:ind w:right="-466.062992125984"/>
        <w:rPr>
          <w:b w:val="1"/>
          <w:bCs w:val="1"/>
        </w:rPr>
      </w:pPr>
      <w:r w:rsidDel="00000000" w:rsidR="00000000" w:rsidRPr="00000000">
        <w:rPr>
          <w:b w:val="1"/>
          <w:bCs w:val="1"/>
          <w:rtl w:val="0"/>
        </w:rPr>
        <w:t xml:space="preserve">                            </w:t>
      </w:r>
    </w:p>
    <w:p w:rsidR="00000000" w:rsidDel="00000000" w:rsidP="00000000" w:rsidRDefault="00000000" w:rsidRPr="00000000" w14:paraId="00000243">
      <w:pPr>
        <w:widowControl w:val="0"/>
        <w:spacing w:after="200" w:line="276" w:lineRule="auto"/>
        <w:ind w:right="-466.062992125984"/>
        <w:rPr/>
      </w:pPr>
      <w:r w:rsidDel="00000000" w:rsidR="00000000" w:rsidRPr="00000000">
        <w:rPr>
          <w:b w:val="1"/>
          <w:bCs w:val="1"/>
          <w:rtl w:val="0"/>
        </w:rPr>
        <w:t xml:space="preserve">                                                             Ознакомлен и согласен.               __________________  ФИО</w:t>
      </w:r>
      <w:r w:rsidDel="00000000" w:rsidR="00000000" w:rsidRPr="00000000">
        <w:rPr>
          <w:rtl w:val="0"/>
        </w:rPr>
      </w:r>
    </w:p>
    <w:p w:rsidR="00000000" w:rsidDel="00000000" w:rsidP="00000000" w:rsidRDefault="00000000" w:rsidRPr="00000000" w14:paraId="00000244">
      <w:pPr>
        <w:widowControl w:val="0"/>
        <w:spacing w:after="200" w:line="276" w:lineRule="auto"/>
        <w:rPr>
          <w:b w:val="1"/>
          <w:bCs w:val="1"/>
        </w:rPr>
      </w:pPr>
      <w:r w:rsidDel="00000000" w:rsidR="00000000" w:rsidRPr="00000000">
        <w:rPr>
          <w:rtl w:val="0"/>
        </w:rPr>
      </w:r>
    </w:p>
    <w:p w:rsidR="00000000" w:rsidDel="00000000" w:rsidP="00000000" w:rsidRDefault="00000000" w:rsidRPr="00000000" w14:paraId="00000245">
      <w:pPr>
        <w:widowControl w:val="0"/>
        <w:spacing w:after="200" w:before="0" w:line="276" w:lineRule="auto"/>
        <w:ind w:right="-134"/>
        <w:rPr>
          <w:b w:val="1"/>
          <w:bCs w:val="1"/>
          <w:shd w:fill="fff2cc" w:val="clear"/>
        </w:rPr>
      </w:pP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OR3I2+7yA1qq1KVNugjSls3Ng==">CgMxLjAaHQoBMBIYChYIB0ISEhBBcmlhbCBVbmljb2RlIE1TGh0KATESGAoWCAdCEhIQQXJpYWwgVW5pY29kZSBNUxodCgEyEhgKFggHQhISEEFyaWFsIFVuaWNvZGUgTVMaHQoBMxIYChYIB0ISEhBBcmlhbCBVbmljb2RlIE1TMg1oLnJieXltdmY4czljMg1oLnJidnJ5NnNnejllMg5oLnBwd2Fnc3Uxc2dpNTIOaC5vd3VwdHlidzducGk4AHIhMVhkMVA2QU42aWtoNndUM2twUDBKX3Z2a0hoaURtRj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