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245710082"/>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1644986802"/>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656912460"/>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487563136"/>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-Потсдам- Амстердам- Париж 3 дня - Люксембург - Трир- Минск</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07.02.2026-15.02.2026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7 ночлегов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410 (четыреста десять)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70 (Семьдесят)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-Автобусный проезд с сопровождением: 110 (Сто десять) евро;</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230 (Двести тридцать) евро;</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70 (Пятьдесят) евро</w:t>
      </w:r>
      <w:r w:rsidDel="00000000" w:rsidR="00000000" w:rsidRPr="00000000">
        <w:rPr>
          <w:rtl w:val="0"/>
        </w:rPr>
        <w:t xml:space="preserve">.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6">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340</w:t>
      </w:r>
      <w:r w:rsidDel="00000000" w:rsidR="00000000" w:rsidRPr="00000000">
        <w:rPr>
          <w:rtl w:val="0"/>
        </w:rPr>
        <w:t xml:space="preserve"> (</w:t>
      </w:r>
      <w:r w:rsidDel="00000000" w:rsidR="00000000" w:rsidRPr="00000000">
        <w:rPr>
          <w:b w:val="1"/>
          <w:bCs w:val="1"/>
          <w:rtl w:val="0"/>
        </w:rPr>
        <w:t xml:space="preserve">Триста сорок)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0">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8">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6">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8">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D">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3">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C">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D">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B">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5">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6">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8">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A">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C">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D">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B">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C">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D">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1">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D">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E">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2">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3">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5">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6">
      <w:pPr>
        <w:spacing w:after="0" w:before="0" w:line="240" w:lineRule="auto"/>
        <w:ind w:right="-134"/>
        <w:rPr/>
      </w:pPr>
      <w:r w:rsidDel="00000000" w:rsidR="00000000" w:rsidRPr="00000000">
        <w:rPr>
          <w:rtl w:val="0"/>
        </w:rPr>
      </w:r>
    </w:p>
    <w:p w:rsidR="00000000" w:rsidDel="00000000" w:rsidP="00000000" w:rsidRDefault="00000000" w:rsidRPr="00000000" w14:paraId="000001B7">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A">
      <w:pPr>
        <w:spacing w:after="0" w:before="0" w:line="240" w:lineRule="auto"/>
        <w:ind w:right="-134"/>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E">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F">
      <w:pPr>
        <w:spacing w:after="0" w:before="0" w:line="240" w:lineRule="auto"/>
        <w:ind w:right="-134"/>
        <w:rPr/>
      </w:pPr>
      <w:r w:rsidDel="00000000" w:rsidR="00000000" w:rsidRPr="00000000">
        <w:rPr>
          <w:rtl w:val="0"/>
        </w:rPr>
      </w:r>
    </w:p>
    <w:p w:rsidR="00000000" w:rsidDel="00000000" w:rsidP="00000000" w:rsidRDefault="00000000" w:rsidRPr="00000000" w14:paraId="000001C0">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1">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B">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C">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D">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E">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F">
      <w:pPr>
        <w:rPr/>
      </w:pPr>
      <w:r w:rsidDel="00000000" w:rsidR="00000000" w:rsidRPr="00000000">
        <w:br w:type="page"/>
      </w: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1">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2">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3">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B">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3">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4">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8">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9">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A">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B">
      <w:pPr>
        <w:spacing w:before="160" w:line="200" w:lineRule="auto"/>
        <w:ind w:right="-466.062992125984"/>
        <w:jc w:val="both"/>
        <w:rPr>
          <w:b w:val="1"/>
          <w:bCs w:val="1"/>
        </w:rPr>
      </w:pPr>
      <w:r w:rsidDel="00000000" w:rsidR="00000000" w:rsidRPr="00000000">
        <w:rPr>
          <w:b w:val="1"/>
          <w:bCs w:val="1"/>
          <w:rtl w:val="0"/>
        </w:rPr>
        <w:t xml:space="preserve">Французский поцелуй  (Минск - Потсдам - Амстердам </w:t>
      </w:r>
      <w:r w:rsidDel="00000000" w:rsidR="00000000" w:rsidRPr="00000000">
        <w:rPr>
          <w:rtl w:val="0"/>
        </w:rPr>
        <w:t xml:space="preserve">-Брюссель*</w:t>
      </w:r>
      <w:r w:rsidDel="00000000" w:rsidR="00000000" w:rsidRPr="00000000">
        <w:rPr>
          <w:b w:val="1"/>
          <w:bCs w:val="1"/>
          <w:rtl w:val="0"/>
        </w:rPr>
        <w:t xml:space="preserve">- Париж 3 дня </w:t>
      </w:r>
      <w:r w:rsidDel="00000000" w:rsidR="00000000" w:rsidRPr="00000000">
        <w:rPr>
          <w:rtl w:val="0"/>
        </w:rPr>
        <w:t xml:space="preserve">- замки долины Луары* </w:t>
      </w:r>
      <w:r w:rsidDel="00000000" w:rsidR="00000000" w:rsidRPr="00000000">
        <w:rPr>
          <w:b w:val="1"/>
          <w:bCs w:val="1"/>
          <w:rtl w:val="0"/>
        </w:rPr>
        <w:t xml:space="preserve">- Люксембург - Трир - Минск)</w:t>
      </w:r>
    </w:p>
    <w:p w:rsidR="00000000" w:rsidDel="00000000" w:rsidP="00000000" w:rsidRDefault="00000000" w:rsidRPr="00000000" w14:paraId="0000020C">
      <w:pPr>
        <w:spacing w:after="0" w:line="240" w:lineRule="auto"/>
        <w:ind w:left="-354.33070866141736"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D">
      <w:pPr>
        <w:spacing w:after="0" w:line="240" w:lineRule="auto"/>
        <w:ind w:left="-354.33070866141736" w:right="-466.062992125984" w:firstLine="0"/>
        <w:jc w:val="both"/>
        <w:rPr/>
      </w:pPr>
      <w:r w:rsidDel="00000000" w:rsidR="00000000" w:rsidRPr="00000000">
        <w:rPr>
          <w:rtl w:val="0"/>
        </w:rPr>
        <w:t xml:space="preserve">Выезд из Минска ориентировочно в 15.00. Прохождение границы.</w:t>
      </w:r>
    </w:p>
    <w:p w:rsidR="00000000" w:rsidDel="00000000" w:rsidP="00000000" w:rsidRDefault="00000000" w:rsidRPr="00000000" w14:paraId="0000020E">
      <w:pPr>
        <w:spacing w:after="0" w:line="240" w:lineRule="auto"/>
        <w:ind w:left="-354.33070866141736"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F">
      <w:pPr>
        <w:spacing w:after="0" w:line="240" w:lineRule="auto"/>
        <w:ind w:left="-354.33070866141736" w:right="-466.062992125984" w:firstLine="0"/>
        <w:jc w:val="both"/>
        <w:rPr/>
      </w:pPr>
      <w:r w:rsidDel="00000000" w:rsidR="00000000" w:rsidRPr="00000000">
        <w:rPr>
          <w:rtl w:val="0"/>
        </w:rPr>
        <w:t xml:space="preserve">Переезд по территории Польши. При благоприятном прохождении границы и при наличии желающих - экскурсия по Познани*. Прибытие на ночлег в транзитный отель на территории Польши</w:t>
      </w:r>
    </w:p>
    <w:p w:rsidR="00000000" w:rsidDel="00000000" w:rsidP="00000000" w:rsidRDefault="00000000" w:rsidRPr="00000000" w14:paraId="00000210">
      <w:pPr>
        <w:spacing w:after="0" w:line="240" w:lineRule="auto"/>
        <w:ind w:left="-354.33070866141736" w:right="-466.062992125984"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1">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Потсдам</w:t>
      </w:r>
      <w:r w:rsidDel="00000000" w:rsidR="00000000" w:rsidRPr="00000000">
        <w:rPr>
          <w:rtl w:val="0"/>
        </w:rPr>
        <w:t xml:space="preserve">. Обзорная экскурсия. Свободное время. Переезд на ночлег на территории Германии.</w:t>
      </w:r>
    </w:p>
    <w:p w:rsidR="00000000" w:rsidDel="00000000" w:rsidP="00000000" w:rsidRDefault="00000000" w:rsidRPr="00000000" w14:paraId="00000212">
      <w:pPr>
        <w:spacing w:after="0" w:line="240" w:lineRule="auto"/>
        <w:ind w:left="-354.33070866141736" w:right="-466.062992125984"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3">
      <w:pPr>
        <w:spacing w:after="0" w:line="240" w:lineRule="auto"/>
        <w:ind w:left="-354.33070866141736" w:right="-466.062992125984" w:firstLine="0"/>
        <w:jc w:val="both"/>
        <w:rPr/>
      </w:pPr>
      <w:r w:rsidDel="00000000" w:rsidR="00000000" w:rsidRPr="00000000">
        <w:rPr>
          <w:rtl w:val="0"/>
        </w:rPr>
        <w:t xml:space="preserve">Завтрак в отеле. Выселение. При наличии желающих-посещение голландской сыроварни*. Переезд в </w:t>
      </w:r>
      <w:r w:rsidDel="00000000" w:rsidR="00000000" w:rsidRPr="00000000">
        <w:rPr>
          <w:b w:val="1"/>
          <w:bCs w:val="1"/>
          <w:rtl w:val="0"/>
        </w:rPr>
        <w:t xml:space="preserve">Амстердам</w:t>
      </w:r>
      <w:r w:rsidDel="00000000" w:rsidR="00000000" w:rsidRPr="00000000">
        <w:rPr>
          <w:rtl w:val="0"/>
        </w:rPr>
        <w:t xml:space="preserve">. Обзорная экскурсия. Свободное время. При наличии желающих-переезд в Брюссель*. Обзорная экскурсия. Переезд на ночлег на территории Франции.</w:t>
      </w:r>
    </w:p>
    <w:p w:rsidR="00000000" w:rsidDel="00000000" w:rsidP="00000000" w:rsidRDefault="00000000" w:rsidRPr="00000000" w14:paraId="00000214">
      <w:pPr>
        <w:spacing w:after="0" w:line="240" w:lineRule="auto"/>
        <w:ind w:left="-354.33070866141736" w:right="-466.062992125984" w:firstLine="0"/>
        <w:jc w:val="both"/>
        <w:rPr>
          <w:b w:val="1"/>
          <w:bCs w:val="1"/>
        </w:rPr>
      </w:pPr>
      <w:r w:rsidDel="00000000" w:rsidR="00000000" w:rsidRPr="00000000">
        <w:rPr>
          <w:b w:val="1"/>
          <w:bCs w:val="1"/>
          <w:rtl w:val="0"/>
        </w:rPr>
        <w:t xml:space="preserve">5  день:</w:t>
      </w:r>
    </w:p>
    <w:p w:rsidR="00000000" w:rsidDel="00000000" w:rsidP="00000000" w:rsidRDefault="00000000" w:rsidRPr="00000000" w14:paraId="00000215">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w:t>
      </w:r>
      <w:r w:rsidDel="00000000" w:rsidR="00000000" w:rsidRPr="00000000">
        <w:rPr>
          <w:b w:val="1"/>
          <w:bCs w:val="1"/>
          <w:rtl w:val="0"/>
        </w:rPr>
        <w:t xml:space="preserve"> Париж</w:t>
      </w:r>
      <w:r w:rsidDel="00000000" w:rsidR="00000000" w:rsidRPr="00000000">
        <w:rPr>
          <w:rtl w:val="0"/>
        </w:rPr>
        <w:t xml:space="preserve">. Обзорная экскурсия. Посещение музея “Фрагонар”. Для желающих- экскурсии на кораблике по Сене* и по вечернему Парижу*. Ночлег  в пригороде Парижа.</w:t>
      </w:r>
    </w:p>
    <w:p w:rsidR="00000000" w:rsidDel="00000000" w:rsidP="00000000" w:rsidRDefault="00000000" w:rsidRPr="00000000" w14:paraId="00000216">
      <w:pPr>
        <w:spacing w:after="0" w:line="240" w:lineRule="auto"/>
        <w:ind w:left="-354.33070866141736" w:right="-466.062992125984" w:firstLine="0"/>
        <w:jc w:val="both"/>
        <w:rPr>
          <w:b w:val="1"/>
          <w:bCs w:val="1"/>
        </w:rPr>
      </w:pPr>
      <w:r w:rsidDel="00000000" w:rsidR="00000000" w:rsidRPr="00000000">
        <w:rPr>
          <w:b w:val="1"/>
          <w:bCs w:val="1"/>
          <w:rtl w:val="0"/>
        </w:rPr>
        <w:t xml:space="preserve">6  день: </w:t>
      </w:r>
    </w:p>
    <w:p w:rsidR="00000000" w:rsidDel="00000000" w:rsidP="00000000" w:rsidRDefault="00000000" w:rsidRPr="00000000" w14:paraId="00000217">
      <w:pPr>
        <w:spacing w:after="0" w:line="240" w:lineRule="auto"/>
        <w:ind w:left="-354.33070866141736" w:right="-466.062992125984" w:firstLine="0"/>
        <w:jc w:val="both"/>
        <w:rPr/>
      </w:pPr>
      <w:r w:rsidDel="00000000" w:rsidR="00000000" w:rsidRPr="00000000">
        <w:rPr>
          <w:rtl w:val="0"/>
        </w:rPr>
        <w:t xml:space="preserve">Завтрак в отеле. Переезд в </w:t>
      </w:r>
      <w:r w:rsidDel="00000000" w:rsidR="00000000" w:rsidRPr="00000000">
        <w:rPr>
          <w:b w:val="1"/>
          <w:bCs w:val="1"/>
          <w:rtl w:val="0"/>
        </w:rPr>
        <w:t xml:space="preserve">Париж</w:t>
      </w:r>
      <w:r w:rsidDel="00000000" w:rsidR="00000000" w:rsidRPr="00000000">
        <w:rPr>
          <w:rtl w:val="0"/>
        </w:rPr>
        <w:t xml:space="preserve">. Свободное время. Для желающих-экскурсия по замкам долины Луары*. Ночлег в пригороде Парижа.</w:t>
      </w:r>
    </w:p>
    <w:p w:rsidR="00000000" w:rsidDel="00000000" w:rsidP="00000000" w:rsidRDefault="00000000" w:rsidRPr="00000000" w14:paraId="00000218">
      <w:pPr>
        <w:spacing w:after="0" w:line="240" w:lineRule="auto"/>
        <w:ind w:left="-354.33070866141736" w:right="-466.062992125984" w:firstLine="0"/>
        <w:jc w:val="both"/>
        <w:rPr>
          <w:b w:val="1"/>
          <w:bCs w:val="1"/>
        </w:rPr>
      </w:pPr>
      <w:r w:rsidDel="00000000" w:rsidR="00000000" w:rsidRPr="00000000">
        <w:rPr>
          <w:b w:val="1"/>
          <w:bCs w:val="1"/>
          <w:rtl w:val="0"/>
        </w:rPr>
        <w:t xml:space="preserve">7 день:</w:t>
      </w:r>
    </w:p>
    <w:p w:rsidR="00000000" w:rsidDel="00000000" w:rsidP="00000000" w:rsidRDefault="00000000" w:rsidRPr="00000000" w14:paraId="00000219">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Париж</w:t>
      </w:r>
      <w:r w:rsidDel="00000000" w:rsidR="00000000" w:rsidRPr="00000000">
        <w:rPr>
          <w:rtl w:val="0"/>
        </w:rPr>
        <w:t xml:space="preserve">. Свободное время. Для желающих-экскурсии по Монмартру* и экскурсия “Чрево Парижа”. Переезд на ночлег на территории Франции.</w:t>
      </w:r>
    </w:p>
    <w:p w:rsidR="00000000" w:rsidDel="00000000" w:rsidP="00000000" w:rsidRDefault="00000000" w:rsidRPr="00000000" w14:paraId="0000021A">
      <w:pPr>
        <w:spacing w:after="0" w:line="240" w:lineRule="auto"/>
        <w:ind w:left="-354.33070866141736" w:right="-466.062992125984" w:firstLine="0"/>
        <w:jc w:val="both"/>
        <w:rPr>
          <w:b w:val="1"/>
          <w:bCs w:val="1"/>
        </w:rPr>
      </w:pPr>
      <w:r w:rsidDel="00000000" w:rsidR="00000000" w:rsidRPr="00000000">
        <w:rPr>
          <w:b w:val="1"/>
          <w:bCs w:val="1"/>
          <w:rtl w:val="0"/>
        </w:rPr>
        <w:t xml:space="preserve">8  день: </w:t>
      </w:r>
    </w:p>
    <w:p w:rsidR="00000000" w:rsidDel="00000000" w:rsidP="00000000" w:rsidRDefault="00000000" w:rsidRPr="00000000" w14:paraId="0000021B">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Люксембург</w:t>
      </w:r>
      <w:r w:rsidDel="00000000" w:rsidR="00000000" w:rsidRPr="00000000">
        <w:rPr>
          <w:rtl w:val="0"/>
        </w:rPr>
        <w:t xml:space="preserve">. Обзорная экскурсия. Переезд в </w:t>
      </w:r>
      <w:r w:rsidDel="00000000" w:rsidR="00000000" w:rsidRPr="00000000">
        <w:rPr>
          <w:b w:val="1"/>
          <w:bCs w:val="1"/>
          <w:rtl w:val="0"/>
        </w:rPr>
        <w:t xml:space="preserve">Трир</w:t>
      </w:r>
      <w:r w:rsidDel="00000000" w:rsidR="00000000" w:rsidRPr="00000000">
        <w:rPr>
          <w:rtl w:val="0"/>
        </w:rPr>
        <w:t xml:space="preserve">. Обзорная экскурсия. Свободное время. Переезд на ночлег в транзитном отеле на территории Польши.</w:t>
      </w:r>
    </w:p>
    <w:p w:rsidR="00000000" w:rsidDel="00000000" w:rsidP="00000000" w:rsidRDefault="00000000" w:rsidRPr="00000000" w14:paraId="0000021C">
      <w:pPr>
        <w:spacing w:after="0" w:line="240" w:lineRule="auto"/>
        <w:ind w:left="-354.33070866141736" w:right="-466.062992125984" w:firstLine="0"/>
        <w:jc w:val="both"/>
        <w:rPr/>
      </w:pPr>
      <w:r w:rsidDel="00000000" w:rsidR="00000000" w:rsidRPr="00000000">
        <w:rPr>
          <w:b w:val="1"/>
          <w:bCs w:val="1"/>
          <w:rtl w:val="0"/>
        </w:rPr>
        <w:t xml:space="preserve">9  день:</w:t>
      </w:r>
      <w:r w:rsidDel="00000000" w:rsidR="00000000" w:rsidRPr="00000000">
        <w:rPr>
          <w:rtl w:val="0"/>
        </w:rPr>
        <w:t xml:space="preserve">       </w:t>
      </w:r>
    </w:p>
    <w:p w:rsidR="00000000" w:rsidDel="00000000" w:rsidP="00000000" w:rsidRDefault="00000000" w:rsidRPr="00000000" w14:paraId="0000021D">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 Минск через Брест.</w:t>
      </w:r>
    </w:p>
    <w:p w:rsidR="00000000" w:rsidDel="00000000" w:rsidP="00000000" w:rsidRDefault="00000000" w:rsidRPr="00000000" w14:paraId="0000021E">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F">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20">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1">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  610 евро с человека: </w:t>
      </w:r>
      <w:r w:rsidDel="00000000" w:rsidR="00000000" w:rsidRPr="00000000">
        <w:rPr>
          <w:rtl w:val="0"/>
        </w:rPr>
        <w:t xml:space="preserve"> 410 евро (комплекс туристических услуг, оплачиваемый не позднее даты, указанной в п. 3.2.2 настоящего договора) + 200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22">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3">
      <w:pPr>
        <w:spacing w:after="0" w:line="240" w:lineRule="auto"/>
        <w:ind w:left="-354.33070866141736" w:right="-466.062992125984" w:firstLine="0"/>
        <w:jc w:val="both"/>
        <w:rPr/>
      </w:pPr>
      <w:r w:rsidDel="00000000" w:rsidR="00000000" w:rsidRPr="00000000">
        <w:rPr>
          <w:rtl w:val="0"/>
        </w:rPr>
        <w:t xml:space="preserve">В туристический пакет входит: обзорные экскурсии (Потсдам, Амстердам, Париж, Люксембург,  Трир), гостиничное размещение в Польше,  городские налоги (city tax),   транспортные расходы на территории ЕС (топливо, въездные пошлины на территориях посещаемых объектов, платные парковки).</w:t>
      </w:r>
    </w:p>
    <w:p w:rsidR="00000000" w:rsidDel="00000000" w:rsidP="00000000" w:rsidRDefault="00000000" w:rsidRPr="00000000" w14:paraId="00000224">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5">
      <w:pPr>
        <w:spacing w:after="0" w:line="240" w:lineRule="auto"/>
        <w:ind w:left="-354.33070866141736" w:right="-466.062992125984"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26">
      <w:pPr>
        <w:spacing w:after="0" w:line="200" w:lineRule="auto"/>
        <w:ind w:right="-466.062992125984"/>
        <w:jc w:val="center"/>
        <w:rPr>
          <w:b w:val="1"/>
          <w:bCs w:val="1"/>
        </w:rPr>
      </w:pPr>
      <w:r w:rsidDel="00000000" w:rsidR="00000000" w:rsidRPr="00000000">
        <w:rPr>
          <w:rtl w:val="0"/>
        </w:rPr>
      </w:r>
    </w:p>
    <w:p w:rsidR="00000000" w:rsidDel="00000000" w:rsidP="00000000" w:rsidRDefault="00000000" w:rsidRPr="00000000" w14:paraId="00000227">
      <w:pPr>
        <w:widowControl w:val="0"/>
        <w:numPr>
          <w:ilvl w:val="0"/>
          <w:numId w:val="1"/>
        </w:numPr>
        <w:spacing w:after="0" w:line="240" w:lineRule="auto"/>
        <w:ind w:right="-466.062992125984" w:hanging="360"/>
      </w:pPr>
      <w:r w:rsidDel="00000000" w:rsidR="00000000" w:rsidRPr="00000000">
        <w:rPr>
          <w:rtl w:val="0"/>
        </w:rPr>
        <w:t xml:space="preserve">обзорная экскурсия по Познани (при благоприятном прохождении границы) - 10 €/5 € (несовершеннолетние)</w:t>
      </w:r>
    </w:p>
    <w:p w:rsidR="00000000" w:rsidDel="00000000" w:rsidP="00000000" w:rsidRDefault="00000000" w:rsidRPr="00000000" w14:paraId="00000228">
      <w:pPr>
        <w:widowControl w:val="0"/>
        <w:numPr>
          <w:ilvl w:val="0"/>
          <w:numId w:val="1"/>
        </w:numPr>
        <w:spacing w:after="0" w:line="240" w:lineRule="auto"/>
        <w:ind w:right="-466.062992125984" w:hanging="360"/>
      </w:pPr>
      <w:r w:rsidDel="00000000" w:rsidR="00000000" w:rsidRPr="00000000">
        <w:rPr>
          <w:rtl w:val="0"/>
        </w:rPr>
        <w:t xml:space="preserve">дегустация на голландской сыроварне - 5 € </w:t>
      </w:r>
    </w:p>
    <w:p w:rsidR="00000000" w:rsidDel="00000000" w:rsidP="00000000" w:rsidRDefault="00000000" w:rsidRPr="00000000" w14:paraId="00000229">
      <w:pPr>
        <w:widowControl w:val="0"/>
        <w:numPr>
          <w:ilvl w:val="0"/>
          <w:numId w:val="1"/>
        </w:numPr>
        <w:spacing w:after="0" w:line="240" w:lineRule="auto"/>
        <w:ind w:right="-466.062992125984" w:hanging="360"/>
      </w:pPr>
      <w:r w:rsidDel="00000000" w:rsidR="00000000" w:rsidRPr="00000000">
        <w:rPr>
          <w:rtl w:val="0"/>
        </w:rPr>
        <w:t xml:space="preserve">экскурсия по Брюсселю  - 15 € /10€</w:t>
      </w:r>
    </w:p>
    <w:p w:rsidR="00000000" w:rsidDel="00000000" w:rsidP="00000000" w:rsidRDefault="00000000" w:rsidRPr="00000000" w14:paraId="0000022A">
      <w:pPr>
        <w:widowControl w:val="0"/>
        <w:numPr>
          <w:ilvl w:val="0"/>
          <w:numId w:val="1"/>
        </w:numPr>
        <w:spacing w:after="0" w:line="240" w:lineRule="auto"/>
        <w:ind w:right="-466.062992125984" w:hanging="360"/>
      </w:pPr>
      <w:r w:rsidDel="00000000" w:rsidR="00000000" w:rsidRPr="00000000">
        <w:rPr>
          <w:rtl w:val="0"/>
        </w:rPr>
        <w:t xml:space="preserve">экскурсия “Чрево Парижа” – 15 €  /10€</w:t>
      </w:r>
    </w:p>
    <w:p w:rsidR="00000000" w:rsidDel="00000000" w:rsidP="00000000" w:rsidRDefault="00000000" w:rsidRPr="00000000" w14:paraId="0000022B">
      <w:pPr>
        <w:widowControl w:val="0"/>
        <w:numPr>
          <w:ilvl w:val="0"/>
          <w:numId w:val="1"/>
        </w:numPr>
        <w:spacing w:after="0" w:line="240" w:lineRule="auto"/>
        <w:ind w:right="-466.062992125984" w:hanging="360"/>
      </w:pPr>
      <w:r w:rsidDel="00000000" w:rsidR="00000000" w:rsidRPr="00000000">
        <w:rPr>
          <w:rtl w:val="0"/>
        </w:rPr>
        <w:t xml:space="preserve">экскурсия “Огни ночного Парижа” - 20  € /10€ </w:t>
      </w:r>
    </w:p>
    <w:p w:rsidR="00000000" w:rsidDel="00000000" w:rsidP="00000000" w:rsidRDefault="00000000" w:rsidRPr="00000000" w14:paraId="0000022C">
      <w:pPr>
        <w:widowControl w:val="0"/>
        <w:numPr>
          <w:ilvl w:val="0"/>
          <w:numId w:val="1"/>
        </w:numPr>
        <w:spacing w:after="0" w:line="240" w:lineRule="auto"/>
        <w:ind w:right="-466.062992125984" w:hanging="360"/>
      </w:pPr>
      <w:r w:rsidDel="00000000" w:rsidR="00000000" w:rsidRPr="00000000">
        <w:rPr>
          <w:rtl w:val="0"/>
        </w:rPr>
        <w:t xml:space="preserve">экскурсия по Монмартру - 15  €  /10 €</w:t>
      </w:r>
    </w:p>
    <w:p w:rsidR="00000000" w:rsidDel="00000000" w:rsidP="00000000" w:rsidRDefault="00000000" w:rsidRPr="00000000" w14:paraId="0000022D">
      <w:pPr>
        <w:widowControl w:val="0"/>
        <w:numPr>
          <w:ilvl w:val="0"/>
          <w:numId w:val="1"/>
        </w:numPr>
        <w:spacing w:after="0" w:line="240" w:lineRule="auto"/>
        <w:ind w:right="-466.062992125984" w:hanging="360"/>
      </w:pPr>
      <w:r w:rsidDel="00000000" w:rsidR="00000000" w:rsidRPr="00000000">
        <w:rPr>
          <w:rtl w:val="0"/>
        </w:rPr>
        <w:t xml:space="preserve">круиз по Сене  - 18  € /12 €  </w:t>
      </w:r>
    </w:p>
    <w:p w:rsidR="00000000" w:rsidDel="00000000" w:rsidP="00000000" w:rsidRDefault="00000000" w:rsidRPr="00000000" w14:paraId="0000022E">
      <w:pPr>
        <w:widowControl w:val="0"/>
        <w:numPr>
          <w:ilvl w:val="0"/>
          <w:numId w:val="1"/>
        </w:numPr>
        <w:spacing w:after="0" w:line="240" w:lineRule="auto"/>
        <w:ind w:right="-466.062992125984" w:hanging="360"/>
      </w:pPr>
      <w:r w:rsidDel="00000000" w:rsidR="00000000" w:rsidRPr="00000000">
        <w:rPr>
          <w:rtl w:val="0"/>
        </w:rPr>
        <w:t xml:space="preserve">выездная экскурсия по королевским замкам долины Луары - 50 € /30€</w:t>
      </w:r>
    </w:p>
    <w:p w:rsidR="00000000" w:rsidDel="00000000" w:rsidP="00000000" w:rsidRDefault="00000000" w:rsidRPr="00000000" w14:paraId="0000022F">
      <w:pPr>
        <w:widowControl w:val="0"/>
        <w:numPr>
          <w:ilvl w:val="0"/>
          <w:numId w:val="1"/>
        </w:numPr>
        <w:spacing w:after="0" w:line="240" w:lineRule="auto"/>
        <w:ind w:right="-466.062992125984" w:hanging="360"/>
      </w:pPr>
      <w:r w:rsidDel="00000000" w:rsidR="00000000" w:rsidRPr="00000000">
        <w:rPr>
          <w:rtl w:val="0"/>
        </w:rPr>
        <w:t xml:space="preserve">аренда наушников для экскурсий - 10  €</w:t>
      </w:r>
    </w:p>
    <w:p w:rsidR="00000000" w:rsidDel="00000000" w:rsidP="00000000" w:rsidRDefault="00000000" w:rsidRPr="00000000" w14:paraId="00000230">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31">
      <w:pPr>
        <w:widowControl w:val="0"/>
        <w:numPr>
          <w:ilvl w:val="0"/>
          <w:numId w:val="2"/>
        </w:numPr>
        <w:spacing w:after="0" w:line="240" w:lineRule="auto"/>
        <w:ind w:left="720" w:right="-466.062992125984"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32">
      <w:pPr>
        <w:widowControl w:val="0"/>
        <w:spacing w:after="0" w:line="240" w:lineRule="auto"/>
        <w:ind w:left="720" w:right="-466.062992125984"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33">
      <w:pPr>
        <w:widowControl w:val="0"/>
        <w:numPr>
          <w:ilvl w:val="0"/>
          <w:numId w:val="2"/>
        </w:numPr>
        <w:spacing w:after="0" w:line="240" w:lineRule="auto"/>
        <w:ind w:left="720" w:right="-466.062992125984" w:hanging="360"/>
      </w:pPr>
      <w:r w:rsidDel="00000000" w:rsidR="00000000" w:rsidRPr="00000000">
        <w:rPr>
          <w:rtl w:val="0"/>
        </w:rPr>
        <w:t xml:space="preserve">консульский сбор за открытие визы - 35 €</w:t>
      </w:r>
    </w:p>
    <w:p w:rsidR="00000000" w:rsidDel="00000000" w:rsidP="00000000" w:rsidRDefault="00000000" w:rsidRPr="00000000" w14:paraId="00000234">
      <w:pPr>
        <w:widowControl w:val="0"/>
        <w:numPr>
          <w:ilvl w:val="0"/>
          <w:numId w:val="2"/>
        </w:numPr>
        <w:spacing w:after="0" w:line="240" w:lineRule="auto"/>
        <w:ind w:left="720" w:right="-466.062992125984"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35">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36">
      <w:pPr>
        <w:widowControl w:val="0"/>
        <w:spacing w:after="200" w:line="276" w:lineRule="auto"/>
        <w:ind w:right="-466.062992125984"/>
        <w:rPr>
          <w:b w:val="1"/>
          <w:bCs w:val="1"/>
        </w:rPr>
      </w:pPr>
      <w:r w:rsidDel="00000000" w:rsidR="00000000" w:rsidRPr="00000000">
        <w:rPr>
          <w:b w:val="1"/>
          <w:bCs w:val="1"/>
          <w:rtl w:val="0"/>
        </w:rPr>
        <w:t xml:space="preserve">                            </w:t>
      </w:r>
    </w:p>
    <w:p w:rsidR="00000000" w:rsidDel="00000000" w:rsidP="00000000" w:rsidRDefault="00000000" w:rsidRPr="00000000" w14:paraId="00000237">
      <w:pPr>
        <w:widowControl w:val="0"/>
        <w:spacing w:after="200" w:line="276" w:lineRule="auto"/>
        <w:ind w:right="-466.062992125984"/>
        <w:rPr/>
      </w:pPr>
      <w:r w:rsidDel="00000000" w:rsidR="00000000" w:rsidRPr="00000000">
        <w:rPr>
          <w:b w:val="1"/>
          <w:bCs w:val="1"/>
          <w:rtl w:val="0"/>
        </w:rPr>
        <w:t xml:space="preserve">                                                             Ознакомлен и согласен.               __________________  ФИО</w:t>
      </w:r>
      <w:r w:rsidDel="00000000" w:rsidR="00000000" w:rsidRPr="00000000">
        <w:rPr>
          <w:rtl w:val="0"/>
        </w:rPr>
      </w:r>
    </w:p>
    <w:p w:rsidR="00000000" w:rsidDel="00000000" w:rsidP="00000000" w:rsidRDefault="00000000" w:rsidRPr="00000000" w14:paraId="00000238">
      <w:pPr>
        <w:widowControl w:val="0"/>
        <w:spacing w:after="200" w:line="276" w:lineRule="auto"/>
        <w:rPr>
          <w:b w:val="1"/>
          <w:bCs w:val="1"/>
        </w:rPr>
      </w:pPr>
      <w:r w:rsidDel="00000000" w:rsidR="00000000" w:rsidRPr="00000000">
        <w:rPr>
          <w:rtl w:val="0"/>
        </w:rPr>
      </w:r>
    </w:p>
    <w:p w:rsidR="00000000" w:rsidDel="00000000" w:rsidP="00000000" w:rsidRDefault="00000000" w:rsidRPr="00000000" w14:paraId="00000239">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A">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B">
      <w:pPr>
        <w:widowControl w:val="0"/>
        <w:spacing w:after="200" w:before="0" w:line="276" w:lineRule="auto"/>
        <w:ind w:right="-134"/>
        <w:rPr>
          <w:b w:val="1"/>
          <w:bCs w:val="1"/>
          <w:shd w:fill="fff2cc" w:val="clear"/>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7xlyh6UnCoBYSlN0I5WCtjcxA==">CgMxLjAaHQoBMBIYChYIB0ISEhBBcmlhbCBVbmljb2RlIE1TGh0KATESGAoWCAdCEhIQQXJpYWwgVW5pY29kZSBNUxodCgEyEhgKFggHQhISEEFyaWFsIFVuaWNvZGUgTVMaHQoBMxIYChYIB0ISEhBBcmlhbCBVbmljb2RlIE1TOAByITFmQ2VtVDM3NnVfTXlGclNaN0E2OE1tR2tmX3hNLXhaNg==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